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NOTION"/>
        <w:spacing w:before="360" w:after="240"/>
        <w:rPr/>
      </w:pPr>
      <w:r>
        <w:rPr/>
        <w:t xml:space="preserve">chapitre 2 </w:t>
      </w:r>
    </w:p>
    <w:p>
      <w:pPr>
        <w:pStyle w:val="1NOTION"/>
        <w:rPr/>
      </w:pPr>
      <w:r>
        <w:rPr/>
        <w:t>les parties et leurs representants</w:t>
      </w:r>
    </w:p>
    <w:p>
      <w:pPr>
        <w:pStyle w:val="11titre"/>
        <w:rPr/>
      </w:pPr>
      <w:r>
        <w:rPr/>
        <w:t>§ 8</w:t>
        <w:tab/>
        <w:t>les parties (apercu)</w:t>
      </w:r>
    </w:p>
    <w:p>
      <w:pPr>
        <w:pStyle w:val="111type"/>
        <w:rPr/>
      </w:pPr>
      <w:r>
        <w:rPr/>
        <w:t>1. Le système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Quelles aptitudes les parties doivent avoir pour entrer en relation contractuelle?</w:t>
      </w:r>
    </w:p>
    <w:p>
      <w:pPr>
        <w:pStyle w:val="111type"/>
        <w:rPr/>
      </w:pPr>
      <w:r>
        <w:rPr/>
        <w:t>2. La capacité civile passive (11 CC)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Toute personne jouit des droits civils (= jouissance des droits civils).</w:t>
      </w:r>
    </w:p>
    <w:p>
      <w:pPr>
        <w:pStyle w:val="Texte2"/>
        <w:rPr/>
      </w:pPr>
      <w:r>
        <w:rPr/>
        <w:t>= aptitude d'une personne à devenir sujets de droits et d'obligation.</w:t>
      </w:r>
    </w:p>
    <w:p>
      <w:pPr>
        <w:pStyle w:val="111type"/>
        <w:rPr/>
      </w:pPr>
      <w:r>
        <w:rPr/>
        <w:t>3. La capacité civile active</w:t>
      </w:r>
    </w:p>
    <w:p>
      <w:pPr>
        <w:pStyle w:val="111italique"/>
        <w:rPr/>
      </w:pPr>
      <w:r>
        <w:rPr/>
        <w:t>3.1. La notion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= Aptitude d'une personne à faire produire à un comportement déterminé des effets juridiques (voulus ou non).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la capacité fait défaut, l'acte est nul.</w:t>
      </w:r>
    </w:p>
    <w:p>
      <w:pPr>
        <w:pStyle w:val="111italique"/>
        <w:rPr/>
      </w:pPr>
      <w:r>
        <w:rPr/>
        <w:t>3.2. La capacité totale</w:t>
      </w:r>
    </w:p>
    <w:p>
      <w:pPr>
        <w:pStyle w:val="1111type"/>
        <w:rPr/>
      </w:pPr>
      <w:r>
        <w:rPr/>
        <w:t>1) Majeur : 18 ans</w:t>
      </w:r>
    </w:p>
    <w:p>
      <w:pPr>
        <w:pStyle w:val="1111type"/>
        <w:rPr/>
      </w:pPr>
      <w:r>
        <w:rPr/>
        <w:t>2) Non interdit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interdiction = décision officielle privant une personne majeure de sa capacité civile active</w:t>
      </w:r>
    </w:p>
    <w:tbl>
      <w:tblPr>
        <w:tblW w:w="9954" w:type="dxa"/>
        <w:jc w:val="left"/>
        <w:tblInd w:w="-299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07"/>
        <w:gridCol w:w="1371"/>
        <w:gridCol w:w="1559"/>
        <w:gridCol w:w="1417"/>
        <w:gridCol w:w="1276"/>
        <w:gridCol w:w="950"/>
        <w:gridCol w:w="1773"/>
        <w:gridCol w:w="1"/>
      </w:tblGrid>
      <w:tr>
        <w:trPr/>
        <w:tc>
          <w:tcPr>
            <w:tcW w:w="99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>
                <w:b/>
                <w:bCs/>
                <w:smallCaps/>
              </w:rPr>
              <w:t>personnes</w:t>
            </w:r>
            <w:r>
              <w:rPr/>
              <w:t xml:space="preserve"> </w:t>
            </w:r>
          </w:p>
        </w:tc>
      </w:tr>
      <w:tr>
        <w:trPr/>
        <w:tc>
          <w:tcPr>
            <w:tcW w:w="818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capables de discernement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incapables de discernement</w:t>
            </w:r>
          </w:p>
        </w:tc>
      </w:tr>
      <w:tr>
        <w:trPr/>
        <w:tc>
          <w:tcPr>
            <w:tcW w:w="45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majeur et non interdit</w:t>
            </w:r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mineur ou interdit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8" w:type="dxa"/>
            <w:gridSpan w:val="2"/>
            <w:tcBorders>
              <w:top w:val="single" w:sz="6" w:space="0" w:color="000000"/>
              <w:lef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capacité restreinte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capacité totale: exercice des droits civils</w:t>
            </w:r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incapables de principe (17 CC)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dashed" w:sz="6" w:space="0" w:color="auto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capacité inconditionnelle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capacité conditionnelle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capacité spéciale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ind w:left="0" w:hanging="0"/>
              <w:jc w:val="center"/>
              <w:rPr/>
            </w:pPr>
            <w:r>
              <w:rPr/>
              <w:t>personnes mariées</w:t>
            </w:r>
          </w:p>
          <w:p>
            <w:pPr>
              <w:pStyle w:val="Texte2"/>
              <w:ind w:left="0" w:hanging="0"/>
              <w:jc w:val="center"/>
              <w:rPr/>
            </w:pPr>
            <w:r>
              <w:rPr/>
              <w:t>Principe 168 CC</w:t>
            </w:r>
          </w:p>
          <w:p>
            <w:pPr>
              <w:pStyle w:val="Texte2"/>
              <w:ind w:left="0" w:hanging="0"/>
              <w:jc w:val="center"/>
              <w:rPr/>
            </w:pPr>
            <w:r>
              <w:rPr/>
              <w:t>Exception:</w:t>
            </w:r>
          </w:p>
          <w:p>
            <w:pPr>
              <w:pStyle w:val="Tx2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283" w:hanging="283"/>
              <w:rPr/>
            </w:pPr>
            <w:r>
              <w:rPr/>
              <w:t>169 CC</w:t>
            </w:r>
          </w:p>
          <w:p>
            <w:pPr>
              <w:pStyle w:val="Tx2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283" w:hanging="283"/>
              <w:rPr/>
            </w:pPr>
            <w:r>
              <w:rPr/>
              <w:t>226b CO</w:t>
            </w:r>
          </w:p>
          <w:p>
            <w:pPr>
              <w:pStyle w:val="Tx2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0" w:after="0"/>
              <w:ind w:left="283" w:hanging="283"/>
              <w:rPr/>
            </w:pPr>
            <w:r>
              <w:rPr/>
              <w:t>494 CC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personne sous conseil légal (395 CC)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19.2 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ind w:left="0" w:hanging="0"/>
              <w:jc w:val="center"/>
              <w:rPr/>
            </w:pPr>
            <w:r>
              <w:rPr/>
              <w:t>19.1 CC</w:t>
            </w:r>
          </w:p>
          <w:p>
            <w:pPr>
              <w:pStyle w:val="Texte2"/>
              <w:ind w:left="0" w:hanging="0"/>
              <w:jc w:val="center"/>
              <w:rPr/>
            </w:pPr>
            <w:r>
              <w:rPr/>
              <w:t>305 CC</w:t>
            </w:r>
          </w:p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410 CC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ind w:left="0" w:hanging="0"/>
              <w:jc w:val="center"/>
              <w:rPr/>
            </w:pPr>
            <w:r>
              <w:rPr/>
              <w:t>321 CC</w:t>
            </w:r>
          </w:p>
          <w:p>
            <w:pPr>
              <w:pStyle w:val="Texte2"/>
              <w:ind w:left="0" w:hanging="0"/>
              <w:jc w:val="center"/>
              <w:rPr/>
            </w:pPr>
            <w:r>
              <w:rPr/>
              <w:t>323 CC</w:t>
            </w:r>
          </w:p>
          <w:p>
            <w:pPr>
              <w:pStyle w:val="Texte2"/>
              <w:ind w:left="0" w:hanging="0"/>
              <w:jc w:val="center"/>
              <w:rPr/>
            </w:pPr>
            <w:r>
              <w:rPr/>
              <w:t>412 CC</w:t>
            </w:r>
          </w:p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414 CC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</w:tr>
    </w:tbl>
    <w:p>
      <w:pPr>
        <w:pStyle w:val="Texte2"/>
        <w:rPr/>
      </w:pPr>
      <w:r>
        <w:rPr/>
      </w:r>
    </w:p>
    <w:p>
      <w:pPr>
        <w:pStyle w:val="1111type"/>
        <w:rPr/>
      </w:pPr>
      <w:r>
        <w:rPr/>
        <w:t>3) La capacité de discernement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16 CC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Causes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ivresse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jeunesse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...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Elle s'apprécie </w:t>
      </w:r>
      <w:r>
        <w:rPr>
          <w:i/>
          <w:iCs/>
        </w:rPr>
        <w:t>in concreto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L'incapacité de discernement = absence de la faculté d'agir raisonnablement par l'effet d'une cause objective.</w:t>
      </w:r>
    </w:p>
    <w:p>
      <w:pPr>
        <w:pStyle w:val="111italique"/>
        <w:rPr/>
      </w:pPr>
      <w:r>
        <w:rPr/>
        <w:t>3.3. La capacité partielle des mineurs et des interdits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Ils n'ont pas la capacité civile active.</w:t>
      </w:r>
    </w:p>
    <w:p>
      <w:pPr>
        <w:pStyle w:val="Tx"/>
        <w:numPr>
          <w:ilvl w:val="0"/>
          <w:numId w:val="4"/>
        </w:numPr>
        <w:tabs>
          <w:tab w:val="clear" w:pos="708"/>
          <w:tab w:val="left" w:pos="0" w:leader="none"/>
        </w:tabs>
        <w:ind w:left="1078" w:hanging="397"/>
        <w:rPr/>
      </w:pPr>
      <w:r>
        <w:rPr/>
        <w:t>ils ne peuvent pas être partie au contrat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Exception : </w:t>
      </w:r>
      <w:r>
        <w:rPr>
          <w:b/>
          <w:bCs/>
        </w:rPr>
        <w:t>capacité partielle</w:t>
      </w:r>
    </w:p>
    <w:p>
      <w:pPr>
        <w:pStyle w:val="1111type"/>
        <w:rPr/>
      </w:pPr>
      <w:r>
        <w:rPr/>
        <w:t>1) Capacité inconditionnelle</w:t>
      </w:r>
    </w:p>
    <w:p>
      <w:pPr>
        <w:pStyle w:val="Texte6"/>
        <w:rPr/>
      </w:pPr>
      <w:r>
        <w:rPr/>
        <w:t>19.2 CC : "Les mineurs..."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A titre gratuit: la donation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Acte strictement personnel</w:t>
      </w:r>
    </w:p>
    <w:p>
      <w:pPr>
        <w:pStyle w:val="1111type"/>
        <w:rPr/>
      </w:pPr>
      <w:r>
        <w:rPr/>
        <w:t>2) Capacité conditionnelle</w:t>
      </w:r>
    </w:p>
    <w:p>
      <w:pPr>
        <w:pStyle w:val="Texte6"/>
        <w:rPr/>
      </w:pPr>
      <w:r>
        <w:rPr/>
        <w:t>19.1 CC : consentement du représentant légal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les parents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le tuteur</w:t>
      </w:r>
    </w:p>
    <w:p>
      <w:pPr>
        <w:pStyle w:val="1111type"/>
        <w:rPr/>
      </w:pPr>
      <w:r>
        <w:rPr/>
        <w:t>3) Les capacités spéciales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321 : mineur sous autorité parentale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322 : somme à disposition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323 : revenu du travail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Si la partie est incapable de discernement, elle ne peut </w:t>
      </w:r>
      <w:r>
        <w:rPr>
          <w:u w:val="single"/>
        </w:rPr>
        <w:t xml:space="preserve">jamais </w:t>
      </w:r>
      <w:r>
        <w:rPr/>
        <w:t>s'engager par contrat.</w:t>
      </w:r>
    </w:p>
    <w:p>
      <w:pPr>
        <w:pStyle w:val="111type"/>
        <w:rPr/>
      </w:pPr>
      <w:r>
        <w:rPr/>
        <w:t>4. la capacité des personnes morales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52ss CC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= entités qui individualisent un groupement de personnes ou une masse de biens assujettie à certain but.</w:t>
      </w:r>
    </w:p>
    <w:p>
      <w:pPr>
        <w:pStyle w:val="1111type"/>
        <w:rPr/>
      </w:pPr>
      <w:r>
        <w:rPr/>
        <w:t>1) La capacité civile passive</w:t>
      </w:r>
    </w:p>
    <w:p>
      <w:pPr>
        <w:pStyle w:val="Tx6chiffre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Les corporations</w:t>
      </w:r>
    </w:p>
    <w:p>
      <w:pPr>
        <w:pStyle w:val="Tx6chiffre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L'établissement : fondation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Condition : être une personne morale</w:t>
      </w:r>
    </w:p>
    <w:p>
      <w:pPr>
        <w:pStyle w:val="1111type"/>
        <w:rPr/>
      </w:pPr>
      <w:r>
        <w:rPr/>
        <w:t>2) La capacité civile active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Condition : disposer des organes pour la représenter.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Organes = 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Sens formel : (assemblée générale) organes chargés par la loi ou les statuts de gérer la personne morale.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Sens matériel :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 xml:space="preserve">Toutes les personnes qui exercent au sein de la société une fonction essentielle ( </w:t>
      </w:r>
      <w:r>
        <w:rPr>
          <w:rFonts w:eastAsia="Symbol" w:cs="Symbol" w:ascii="Symbol" w:hAnsi="Symbol"/>
        </w:rPr>
        <w:t></w:t>
      </w:r>
      <w:r>
        <w:rPr/>
        <w:t>un contremaître)</w:t>
      </w:r>
    </w:p>
    <w:p>
      <w:pPr>
        <w:pStyle w:val="111type"/>
        <w:rPr/>
      </w:pPr>
      <w:r>
        <w:rPr/>
        <w:t>5. Les vices de capacité</w:t>
      </w:r>
    </w:p>
    <w:p>
      <w:pPr>
        <w:pStyle w:val="1111type"/>
        <w:rPr/>
      </w:pPr>
      <w:r>
        <w:rPr/>
        <w:t>1) Le défaut de capacité civile active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personne n'est pas capable de discernement: le contrat est nul.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personne a la capacité de discernement, mais elle est mineure ou interdite;</w:t>
      </w:r>
    </w:p>
    <w:p>
      <w:pPr>
        <w:pStyle w:val="Texte6"/>
        <w:rPr/>
      </w:pPr>
      <w:r>
        <w:rPr/>
        <w:t>Le contrat n'est pas nul d'emblée. La personne capable B peut demander dans un certain délai le consentement du représentant légal, de ratifier l'accord (410.2 CC).</w:t>
      </w:r>
    </w:p>
    <w:p>
      <w:pPr>
        <w:pStyle w:val="Texte6"/>
        <w:rPr/>
      </w:pPr>
      <w:r>
        <w:rPr/>
        <w:t>Pendant ce temps, l'acte est dit boiteux : imparfait.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Les dommages et intérêts</w:t>
      </w:r>
    </w:p>
    <w:p>
      <w:pPr>
        <w:pStyle w:val="Texte6"/>
        <w:rPr/>
      </w:pPr>
      <w:r>
        <w:rPr/>
        <w:t>Les capables de discernement ou incapable de discernement mais mineur ou interdit: le tiers a droit à un dédommagement (54 CO et 19.3. CC) lorsque ses droits ou biens ont été lésés.</w:t>
      </w:r>
    </w:p>
    <w:p>
      <w:pPr>
        <w:pStyle w:val="1111type"/>
        <w:rPr/>
      </w:pPr>
      <w:r>
        <w:rPr/>
        <w:t>2) Le défaut de capacité civile passive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Le contrat est inexistant.</w:t>
      </w:r>
    </w:p>
    <w:p>
      <w:pPr>
        <w:pStyle w:val="111type"/>
        <w:rPr/>
      </w:pPr>
      <w:r>
        <w:rPr/>
        <w:t>6. capacité civile et pouvoir de disposer (</w:t>
      </w:r>
      <w:r>
        <w:rPr>
          <w:rFonts w:eastAsia="Symbol" w:cs="Symbol" w:ascii="Symbol" w:hAnsi="Symbol"/>
        </w:rPr>
        <w:t></w:t>
      </w:r>
      <w:r>
        <w:rPr/>
        <w:t>)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Pouvoir de disposer c'est-à-dire la possibilité de faire des actes de dispositions; </w:t>
      </w:r>
    </w:p>
    <w:p>
      <w:pPr>
        <w:pStyle w:val="Texte2"/>
        <w:rPr/>
      </w:pPr>
      <w:r>
        <w:rPr/>
        <w:t>Un acte de disposition : disposer d'un actif.</w:t>
      </w:r>
    </w:p>
    <w:p>
      <w:pPr>
        <w:pStyle w:val="Texte2"/>
        <w:rPr/>
      </w:pPr>
      <w:r>
        <w:rPr/>
        <w:t>= Capacité spéciale que doit avoir celui qui entend faire un acte de disposition.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Les effets juridiques sont très différents</w:t>
      </w:r>
    </w:p>
    <w:p>
      <w:pPr>
        <w:pStyle w:val="1111type"/>
        <w:rPr/>
      </w:pPr>
      <w:r>
        <w:rPr/>
        <w:t>1) Le moment déterminant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CCA doit exister au moment de la conclusion du contrat.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Le pouvoir de disposition doit exister au moment où la personne peut disposer de la chose: au moment où l'acte produit ses effets.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Contrat de vente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Il faut avoir le jour même l'EDC. Mais on peut vendre une chose qui ne nous appartient pas aujourd'hui; il faut en disposer au moment où on doit exécuter la prestation.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Sinon, on viole le contrat : dommages et intérêts.</w:t>
      </w:r>
    </w:p>
    <w:p>
      <w:pPr>
        <w:pStyle w:val="1111type"/>
        <w:rPr/>
      </w:pPr>
      <w:r>
        <w:rPr/>
        <w:t>2) L'effet  guérisseur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une personne qui n'a pas la CCA conclut un contrat: il est nul même si dans 3 jours elle a la capacité civile active. Et 3 jours après le contrat ne devient pas valable.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une personne ne dispose pas de la chose aujourd'hui, mais qu'elle l'a 10 jours après, le contrat est valable.</w:t>
      </w:r>
    </w:p>
    <w:p>
      <w:pPr>
        <w:pStyle w:val="1111type"/>
        <w:rPr/>
      </w:pPr>
      <w:r>
        <w:rPr/>
        <w:t>3) La protection du tiers de bonne foi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on n'a pas la CCA : le tiers de bonne foi n'est pas protégé. Il va devoir restituer la chose parce que le contrat est nul.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une personne n'a pas le pouvoir de disposition mais qu'elle dispose d'une chose, alors qu'elle n'a pas le droit de le faire. Le tiers est protégé.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B a une chose en dépôt (de A) et vend la chose. C peut garder la chose (933 CC).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Personnes qui ne peuvent pas disposer.</w:t>
      </w:r>
    </w:p>
    <w:p>
      <w:pPr>
        <w:pStyle w:val="Texte6"/>
        <w:rPr/>
      </w:pPr>
      <w:r>
        <w:rPr/>
        <w:t>La faillite déclarée par le juge</w:t>
      </w:r>
    </w:p>
    <w:p>
      <w:pPr>
        <w:pStyle w:val="11titre"/>
        <w:rPr/>
      </w:pPr>
      <w:r>
        <w:rPr/>
        <w:t xml:space="preserve">§ 9 </w:t>
        <w:tab/>
        <w:t>la representation</w:t>
      </w:r>
    </w:p>
    <w:p>
      <w:pPr>
        <w:pStyle w:val="111type"/>
        <w:rPr/>
      </w:pPr>
      <w:r>
        <w:rPr/>
        <w:t>1. généralités</w:t>
      </w:r>
    </w:p>
    <w:p>
      <w:pPr>
        <w:pStyle w:val="111italique"/>
        <w:rPr/>
      </w:pPr>
      <w:r>
        <w:rPr/>
        <w:t>1.1 Le système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Les 2 parties agissent par l'intermédiaire d'une autre personne : le représentant.</w:t>
      </w:r>
    </w:p>
    <w:p>
      <w:pPr>
        <w:pStyle w:val="Texte2"/>
        <w:rPr/>
      </w:pPr>
      <w:r>
        <w:rPr/>
        <w:t>Les effets du contrat ne naissent pas en la personne du représentant, mais en la personne de A (le représenté).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L'effet de représentation : droit et obligation naissent en la personne du représenté.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La représentation = droit de compétence</w:t>
      </w:r>
    </w:p>
    <w:p>
      <w:pPr>
        <w:pStyle w:val="Texte2"/>
        <w:rPr/>
      </w:pPr>
      <w:r>
        <w:rPr/>
        <w:t>Droit de gestion qui permet à une partie d'agir pour un tiers.</w:t>
      </w:r>
    </w:p>
    <w:p>
      <w:pPr>
        <w:pStyle w:val="Texte2"/>
        <w:rPr/>
      </w:pPr>
      <w:r>
        <w:rPr/>
        <w:t>L'effet de représentation doit se produire.</w:t>
      </w:r>
    </w:p>
    <w:p>
      <w:pPr>
        <w:pStyle w:val="111italique"/>
        <w:rPr/>
      </w:pPr>
      <w:r>
        <w:rPr/>
        <w:t>1.2. Les délimitations</w:t>
      </w:r>
    </w:p>
    <w:p>
      <w:pPr>
        <w:pStyle w:val="1111type"/>
        <w:rPr/>
      </w:pPr>
      <w:r>
        <w:rPr/>
        <w:t xml:space="preserve">1. Représentation volontaire </w:t>
      </w:r>
      <w:r>
        <w:rPr>
          <w:rFonts w:eastAsia="Symbol" w:cs="Symbol" w:ascii="Symbol" w:hAnsi="Symbol"/>
        </w:rPr>
        <w:t></w:t>
      </w:r>
      <w:r>
        <w:rPr/>
        <w:t>représentation légale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source des pouvoirs du représentant.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Pouvoir peut avoir sa source dans la </w:t>
      </w:r>
      <w:r>
        <w:rPr>
          <w:b/>
          <w:bCs/>
        </w:rPr>
        <w:t>volonté</w:t>
      </w:r>
      <w:r>
        <w:rPr/>
        <w:t xml:space="preserve"> du représenté : 32ss CO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Source de la représentation légale dans la </w:t>
      </w:r>
      <w:r>
        <w:rPr>
          <w:b/>
          <w:bCs/>
        </w:rPr>
        <w:t>loi</w:t>
      </w:r>
    </w:p>
    <w:p>
      <w:pPr>
        <w:pStyle w:val="1111type"/>
        <w:rPr/>
      </w:pPr>
      <w:r>
        <w:rPr/>
        <w:t xml:space="preserve">2. Représentation directe </w:t>
      </w:r>
      <w:r>
        <w:rPr>
          <w:rFonts w:eastAsia="Symbol" w:cs="Symbol" w:ascii="Symbol" w:hAnsi="Symbol"/>
        </w:rPr>
        <w:t></w:t>
      </w:r>
      <w:r>
        <w:rPr/>
        <w:t>représentation indirecte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>
          <w:b/>
          <w:bCs/>
          <w:smallCaps/>
        </w:rPr>
        <w:t>Représentation directe</w:t>
      </w:r>
      <w:r>
        <w:rPr/>
        <w:t xml:space="preserve"> : 32ss CO</w:t>
      </w:r>
    </w:p>
    <w:p>
      <w:pPr>
        <w:pStyle w:val="Texte6"/>
        <w:rPr/>
      </w:pPr>
      <w:r>
        <w:rPr/>
        <w:t xml:space="preserve">Le représentant agit </w:t>
      </w:r>
      <w:r>
        <w:rPr>
          <w:b/>
          <w:bCs/>
        </w:rPr>
        <w:t>au nom de A et pour le compte de A</w:t>
      </w:r>
      <w:r>
        <w:rPr/>
        <w:t>. Le représentant se fait connaître vis-à-vis du tiers au nom de A.</w:t>
      </w:r>
    </w:p>
    <w:p>
      <w:pPr>
        <w:pStyle w:val="Tx62"/>
        <w:numPr>
          <w:ilvl w:val="0"/>
          <w:numId w:val="8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Les risques économiques seront supportés par A.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>
          <w:b/>
          <w:bCs/>
          <w:smallCaps/>
        </w:rPr>
        <w:t>Représentation indirecte</w:t>
      </w:r>
      <w:r>
        <w:rPr/>
        <w:t xml:space="preserve"> : 32.3 CO</w:t>
      </w:r>
    </w:p>
    <w:p>
      <w:pPr>
        <w:pStyle w:val="Texte6"/>
        <w:rPr/>
      </w:pPr>
      <w:r>
        <w:rPr/>
        <w:t>Le représentant agit en son propre nom : ne fait pas savoir au tiers qu'il agit au nom d'autrui.</w:t>
      </w:r>
    </w:p>
    <w:p>
      <w:pPr>
        <w:pStyle w:val="Tx62"/>
        <w:numPr>
          <w:ilvl w:val="0"/>
          <w:numId w:val="8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il est partie au contrat (et pas A)</w:t>
      </w:r>
    </w:p>
    <w:p>
      <w:pPr>
        <w:pStyle w:val="Texte6"/>
        <w:rPr/>
      </w:pPr>
      <w:r>
        <w:rPr/>
        <w:t xml:space="preserve">Il n'y a donc pas d'effet de représentation = </w:t>
      </w:r>
      <w:r>
        <w:rPr>
          <w:b/>
          <w:bCs/>
        </w:rPr>
        <w:t>représentation improprement dite</w:t>
      </w:r>
      <w:r>
        <w:rPr/>
        <w:t xml:space="preserve"> (32.3 CO)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Lex Friedrich : un étranger ne peut pas acquérir d'immeuble en Suisse. Mais la représentation est interdite.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Fiduciaire</w:t>
      </w:r>
    </w:p>
    <w:p>
      <w:pPr>
        <w:pStyle w:val="1111type"/>
        <w:rPr/>
      </w:pPr>
      <w:r>
        <w:rPr/>
        <w:t xml:space="preserve">3. Représentation civile </w:t>
      </w:r>
      <w:r>
        <w:rPr>
          <w:rFonts w:eastAsia="Symbol" w:cs="Symbol" w:ascii="Symbol" w:hAnsi="Symbol"/>
        </w:rPr>
        <w:t></w:t>
      </w:r>
      <w:r>
        <w:rPr/>
        <w:t>représentation commerciale (40 CO)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Véritable représentation dans les 2 cas avec effet de représentation.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  <w:smallCaps/>
        </w:rPr>
      </w:pPr>
      <w:r>
        <w:rPr>
          <w:b/>
          <w:bCs/>
          <w:smallCaps/>
        </w:rPr>
        <w:t>Représentation commerciale</w:t>
      </w:r>
    </w:p>
    <w:p>
      <w:pPr>
        <w:pStyle w:val="Texte6"/>
        <w:rPr/>
      </w:pPr>
      <w:r>
        <w:rPr/>
        <w:t>Elle intervient dans la vie commerciale des affaires. Les tiers doivent connaître les pouvoirs du représentant.</w:t>
      </w:r>
    </w:p>
    <w:p>
      <w:pPr>
        <w:pStyle w:val="Texte6"/>
        <w:rPr/>
      </w:pPr>
      <w:r>
        <w:rPr/>
        <w:t>En principe, la loi définit l'étendue des pouvoirs des représentants : quels sont les actes qu'ils peuvent passer vis-à-vis des tiers, de manière à assurer une certaine sécurité des transactions.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458 CO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  <w:smallCaps/>
        </w:rPr>
      </w:pPr>
      <w:r>
        <w:rPr>
          <w:b/>
          <w:bCs/>
          <w:smallCaps/>
        </w:rPr>
        <w:t>Représentation civile</w:t>
      </w:r>
    </w:p>
    <w:p>
      <w:pPr>
        <w:pStyle w:val="Texte6"/>
        <w:rPr/>
      </w:pPr>
      <w:r>
        <w:rPr/>
        <w:t>Les pouvoirs sont déterminés uniquement par le représenté (procuration) : définit l'étendue des pouvoirs.</w:t>
      </w:r>
    </w:p>
    <w:p>
      <w:pPr>
        <w:pStyle w:val="Tx62"/>
        <w:numPr>
          <w:ilvl w:val="0"/>
          <w:numId w:val="8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Libre détermination des pouvoirs.</w:t>
      </w:r>
    </w:p>
    <w:p>
      <w:pPr>
        <w:pStyle w:val="1111type"/>
        <w:rPr/>
      </w:pPr>
      <w:r>
        <w:rPr/>
        <w:t>4. Remarques : représentation des organes d'une société</w:t>
      </w:r>
    </w:p>
    <w:p>
      <w:pPr>
        <w:pStyle w:val="Texte6"/>
        <w:rPr/>
      </w:pPr>
      <w:r>
        <w:rPr/>
        <w:t>Les personnes morales ont l'EDC dès qu'elles ont les organes définis par la loi et l'inscription au Registre du Commerce.</w:t>
      </w:r>
    </w:p>
    <w:p>
      <w:pPr>
        <w:pStyle w:val="Texte6"/>
        <w:rPr/>
      </w:pPr>
      <w:r>
        <w:rPr/>
        <w:t>Les organes pour une S.A. sont les administrateurs. Les administrateurs agissent directement pour la personne morale qui ne peut pas agir seule</w:t>
      </w:r>
    </w:p>
    <w:p>
      <w:pPr>
        <w:pStyle w:val="Tx62"/>
        <w:numPr>
          <w:ilvl w:val="0"/>
          <w:numId w:val="8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les organes ne sont pas des représentants au sens des articles 32ss.</w:t>
      </w:r>
    </w:p>
    <w:p>
      <w:pPr>
        <w:pStyle w:val="Texte6"/>
        <w:rPr/>
      </w:pPr>
      <w:r>
        <w:rPr/>
        <w:t>Mais on applique par analogie les articles 32ss lorsqu'il y a des problèmes.</w:t>
      </w:r>
    </w:p>
    <w:p>
      <w:pPr>
        <w:pStyle w:val="111type"/>
        <w:rPr/>
      </w:pPr>
      <w:r>
        <w:rPr/>
        <w:t>2. les conditions de la représentation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rPr>
          <w:b/>
          <w:b/>
          <w:bCs/>
        </w:rPr>
      </w:pPr>
      <w:r>
        <w:rPr>
          <w:b/>
          <w:bCs/>
        </w:rPr>
        <w:t>Conditions préliminaires</w:t>
      </w:r>
    </w:p>
    <w:p>
      <w:pPr>
        <w:pStyle w:val="Tx2chiffre"/>
        <w:numPr>
          <w:ilvl w:val="0"/>
          <w:numId w:val="9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L'acte doit être un acte </w:t>
      </w:r>
      <w:r>
        <w:rPr>
          <w:smallCaps/>
        </w:rPr>
        <w:t>susceptible de représentation.</w:t>
      </w:r>
    </w:p>
    <w:p>
      <w:pPr>
        <w:pStyle w:val="Tx2retrait1"/>
        <w:numPr>
          <w:ilvl w:val="0"/>
          <w:numId w:val="10"/>
        </w:numPr>
        <w:tabs>
          <w:tab w:val="clear" w:pos="708"/>
          <w:tab w:val="left" w:pos="0" w:leader="none"/>
        </w:tabs>
        <w:ind w:left="1503" w:hanging="397"/>
        <w:rPr/>
      </w:pPr>
      <w:r>
        <w:rPr/>
        <w:t xml:space="preserve">tous les actes strictement personnels ne sont pas susceptibles de représentation (19.2 CC) </w:t>
      </w:r>
      <w:r>
        <w:rPr>
          <w:rFonts w:eastAsia="Symbol" w:cs="Symbol" w:ascii="Symbol" w:hAnsi="Symbol"/>
        </w:rPr>
        <w:t></w:t>
      </w:r>
      <w:r>
        <w:rPr/>
        <w:t>le mariage, le testament.</w:t>
      </w:r>
    </w:p>
    <w:p>
      <w:pPr>
        <w:pStyle w:val="Tx2chiffre"/>
        <w:numPr>
          <w:ilvl w:val="0"/>
          <w:numId w:val="9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Le représentant doit avoir la </w:t>
      </w:r>
      <w:r>
        <w:rPr>
          <w:smallCaps/>
        </w:rPr>
        <w:t xml:space="preserve">capacité de discernement </w:t>
      </w:r>
      <w:r>
        <w:rPr/>
        <w:t>nécessaire (16 CC).</w:t>
      </w:r>
    </w:p>
    <w:p>
      <w:pPr>
        <w:pStyle w:val="Tx2retrait"/>
        <w:rPr/>
      </w:pPr>
      <w:r>
        <w:rPr/>
        <w:t xml:space="preserve">La capacité de discernement suffit (la CCA n'est pas nécessaire) puisque le représenté (qui est </w:t>
      </w:r>
      <w:r>
        <w:rPr>
          <w:u w:val="single"/>
        </w:rPr>
        <w:t>lui</w:t>
      </w:r>
      <w:r>
        <w:rPr/>
        <w:t xml:space="preserve"> partie au contrat ) a la CCA. Le représentant n'est pas partie au contrat.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>
          <w:b/>
          <w:bCs/>
        </w:rPr>
        <w:t>Les conditions spécifiques</w:t>
      </w:r>
      <w:r>
        <w:rPr/>
        <w:t xml:space="preserve"> (32.1 CO)</w:t>
      </w:r>
    </w:p>
    <w:p>
      <w:pPr>
        <w:pStyle w:val="111italique"/>
        <w:rPr/>
      </w:pPr>
      <w:r>
        <w:rPr/>
        <w:t>2.1. L'action au nom du représente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 représentant doit agir au nom du représenté (sinon celui-ci ne devient pas partie au contrat).</w:t>
      </w:r>
    </w:p>
    <w:p>
      <w:pPr>
        <w:pStyle w:val="Texte2"/>
        <w:rPr/>
      </w:pPr>
      <w:r>
        <w:rPr/>
        <w:t xml:space="preserve">Le représentant </w:t>
      </w:r>
      <w:r>
        <w:rPr>
          <w:u w:val="single"/>
        </w:rPr>
        <w:t>doit dire</w:t>
      </w:r>
      <w:r>
        <w:rPr/>
        <w:t xml:space="preserve"> qu'il agit au nom d'autrui:</w:t>
      </w:r>
    </w:p>
    <w:p>
      <w:pPr>
        <w:pStyle w:val="Tx2chiffre"/>
        <w:numPr>
          <w:ilvl w:val="0"/>
          <w:numId w:val="9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de manière </w:t>
      </w:r>
      <w:r>
        <w:rPr>
          <w:u w:val="single"/>
        </w:rPr>
        <w:t>expresse</w:t>
      </w:r>
    </w:p>
    <w:p>
      <w:pPr>
        <w:pStyle w:val="Tx2chiffre"/>
        <w:numPr>
          <w:ilvl w:val="0"/>
          <w:numId w:val="9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de manière </w:t>
      </w:r>
      <w:r>
        <w:rPr>
          <w:u w:val="single"/>
        </w:rPr>
        <w:t>tacite</w:t>
      </w:r>
      <w:r>
        <w:rPr/>
        <w:t xml:space="preserve"> (32.2 CO)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B doit pouvoir inférer des </w:t>
      </w:r>
      <w:r>
        <w:rPr>
          <w:u w:val="single"/>
        </w:rPr>
        <w:t>circonstances</w:t>
      </w:r>
      <w:r>
        <w:rPr/>
        <w:t xml:space="preserve"> que le représentant est bien un représentant. (</w:t>
      </w:r>
      <w:r>
        <w:rPr>
          <w:rFonts w:eastAsia="Symbol" w:cs="Symbol" w:ascii="Symbol" w:hAnsi="Symbol"/>
        </w:rPr>
        <w:t></w:t>
      </w:r>
      <w:r>
        <w:rPr/>
        <w:t>personne au guichet est le représentant de la banque).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Il est </w:t>
      </w:r>
      <w:r>
        <w:rPr>
          <w:u w:val="single"/>
        </w:rPr>
        <w:t>indifférent</w:t>
      </w:r>
      <w:r>
        <w:rPr/>
        <w:t xml:space="preserve"> à B d'agir avec le représenté ou le représentant (rare).</w:t>
      </w:r>
    </w:p>
    <w:p>
      <w:pPr>
        <w:pStyle w:val="111italique"/>
        <w:rPr/>
      </w:pPr>
      <w:r>
        <w:rPr/>
        <w:t>2.2 Le représentant doit être autorise : les pouvoirs de représentation</w:t>
      </w:r>
    </w:p>
    <w:p>
      <w:pPr>
        <w:pStyle w:val="Tx"/>
        <w:numPr>
          <w:ilvl w:val="0"/>
          <w:numId w:val="4"/>
        </w:numPr>
        <w:tabs>
          <w:tab w:val="clear" w:pos="708"/>
          <w:tab w:val="left" w:pos="0" w:leader="none"/>
        </w:tabs>
        <w:ind w:left="1078" w:hanging="397"/>
        <w:rPr/>
      </w:pPr>
      <w:r>
        <w:rPr/>
        <w:t xml:space="preserve">Il doit avoir reçu </w:t>
      </w:r>
      <w:r>
        <w:rPr>
          <w:u w:val="single"/>
        </w:rPr>
        <w:t>les pouvoirs</w:t>
      </w:r>
      <w:r>
        <w:rPr/>
        <w:t xml:space="preserve"> d'agir </w:t>
      </w:r>
      <w:r>
        <w:rPr>
          <w:rFonts w:eastAsia="Symbol" w:cs="Symbol" w:ascii="Symbol" w:hAnsi="Symbol"/>
        </w:rPr>
        <w:t></w:t>
      </w:r>
      <w:r>
        <w:rPr/>
        <w:t>la procuration (33.2 CO).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Procuration</w:t>
      </w:r>
    </w:p>
    <w:p>
      <w:pPr>
        <w:pStyle w:val="Texte2"/>
        <w:rPr/>
      </w:pPr>
      <w:r>
        <w:rPr/>
        <w:t>Acte juridique unilatéral du représenté par lequel il donne à son représentant les pouvoirs.</w:t>
      </w:r>
    </w:p>
    <w:p>
      <w:pPr>
        <w:pStyle w:val="Texte2"/>
        <w:rPr/>
      </w:pPr>
      <w:r>
        <w:rPr>
          <w:u w:val="single"/>
        </w:rPr>
        <w:t>Procuration interne</w:t>
      </w:r>
      <w:r>
        <w:rPr/>
        <w:t xml:space="preserve"> : entre le représenté et le représentant.</w:t>
      </w:r>
    </w:p>
    <w:p>
      <w:pPr>
        <w:pStyle w:val="Texte2"/>
        <w:rPr/>
      </w:pPr>
      <w:r>
        <w:rPr/>
        <w:t xml:space="preserve">La </w:t>
      </w:r>
      <w:r>
        <w:rPr>
          <w:u w:val="single"/>
        </w:rPr>
        <w:t>procuration externe</w:t>
      </w:r>
      <w:r>
        <w:rPr/>
        <w:t xml:space="preserve"> n'est pas nécessaire : acte par lequel le représenté communique aux tiers que le représentant a les pouvoirs.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Etendue des pouvoirs du représentant : dépend du </w:t>
      </w:r>
      <w:r>
        <w:rPr>
          <w:b/>
          <w:bCs/>
        </w:rPr>
        <w:t>type de procuration.</w:t>
      </w:r>
    </w:p>
    <w:p>
      <w:pPr>
        <w:pStyle w:val="1111type"/>
        <w:rPr/>
      </w:pPr>
      <w:r>
        <w:rPr/>
        <w:t>1. Objet de la procuration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Spéciale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Procuration qui ne vaut que pour un objet déterminé</w:t>
      </w:r>
    </w:p>
    <w:p>
      <w:pPr>
        <w:pStyle w:val="11111tx22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retirer une fois 100 à la banque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Générale : le représentant peut faire toute une série d'acte</w:t>
      </w:r>
    </w:p>
    <w:p>
      <w:pPr>
        <w:pStyle w:val="1111retrait2puce"/>
        <w:numPr>
          <w:ilvl w:val="0"/>
          <w:numId w:val="13"/>
        </w:numPr>
        <w:tabs>
          <w:tab w:val="clear" w:pos="708"/>
          <w:tab w:val="left" w:pos="0" w:leader="none"/>
        </w:tabs>
        <w:spacing w:before="20" w:after="20"/>
        <w:ind w:left="2126" w:hanging="283"/>
        <w:rPr/>
      </w:pPr>
      <w:r>
        <w:rPr/>
        <w:t>générique : dans un genre déterminé</w:t>
      </w:r>
    </w:p>
    <w:p>
      <w:pPr>
        <w:pStyle w:val="11111tx22"/>
        <w:numPr>
          <w:ilvl w:val="0"/>
          <w:numId w:val="12"/>
        </w:numPr>
        <w:tabs>
          <w:tab w:val="clear" w:pos="708"/>
          <w:tab w:val="left" w:pos="0" w:leader="none"/>
        </w:tabs>
        <w:spacing w:before="20" w:after="20"/>
        <w:ind w:left="2126" w:hanging="283"/>
        <w:rPr/>
      </w:pPr>
      <w:r>
        <w:rPr/>
        <w:t>faire que des retraits</w:t>
      </w:r>
    </w:p>
    <w:p>
      <w:pPr>
        <w:pStyle w:val="1111retrait2puce"/>
        <w:numPr>
          <w:ilvl w:val="0"/>
          <w:numId w:val="13"/>
        </w:numPr>
        <w:tabs>
          <w:tab w:val="clear" w:pos="708"/>
          <w:tab w:val="left" w:pos="0" w:leader="none"/>
        </w:tabs>
        <w:spacing w:before="20" w:after="20"/>
        <w:ind w:left="2126" w:hanging="283"/>
        <w:rPr/>
      </w:pPr>
      <w:r>
        <w:rPr/>
        <w:t>universelle : pour tous les actes</w:t>
      </w:r>
    </w:p>
    <w:p>
      <w:pPr>
        <w:pStyle w:val="11111tx22"/>
        <w:numPr>
          <w:ilvl w:val="0"/>
          <w:numId w:val="12"/>
        </w:numPr>
        <w:tabs>
          <w:tab w:val="clear" w:pos="708"/>
          <w:tab w:val="left" w:pos="0" w:leader="none"/>
        </w:tabs>
        <w:spacing w:before="20" w:after="20"/>
        <w:ind w:left="2126" w:hanging="283"/>
        <w:rPr/>
      </w:pPr>
      <w:r>
        <w:rPr/>
        <w:t>toutes les opérations bancaires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spacing w:before="20" w:after="20"/>
        <w:ind w:left="2126" w:hanging="283"/>
        <w:rPr/>
      </w:pPr>
      <w:r>
        <w:rPr/>
        <w:t>Représentation passive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Le représentant ne peut que recevoir les manifestations de volonté du tiers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Représentation active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Le représentant peut faire des actes juridiques pour le représenté</w:t>
      </w:r>
    </w:p>
    <w:p>
      <w:pPr>
        <w:pStyle w:val="1111type"/>
        <w:rPr/>
      </w:pPr>
      <w:r>
        <w:rPr/>
        <w:t>2. Procuration relative au sujet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Procuration individuelle </w:t>
      </w:r>
      <w:r>
        <w:rPr>
          <w:rFonts w:eastAsia="Symbol" w:cs="Symbol" w:ascii="Symbol" w:hAnsi="Symbol"/>
        </w:rPr>
        <w:t></w:t>
      </w:r>
      <w:r>
        <w:rPr/>
        <w:t>procuration collective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Individuelle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Le représentant est une et une seule personne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Collective</w:t>
      </w:r>
    </w:p>
    <w:p>
      <w:pPr>
        <w:pStyle w:val="Tx6retrait"/>
        <w:numPr>
          <w:ilvl w:val="0"/>
          <w:numId w:val="7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Le représentant peut être plusieurs personnes</w:t>
      </w:r>
    </w:p>
    <w:p>
      <w:pPr>
        <w:pStyle w:val="11111tx2chiffre"/>
        <w:numPr>
          <w:ilvl w:val="0"/>
          <w:numId w:val="14"/>
        </w:numPr>
        <w:tabs>
          <w:tab w:val="clear" w:pos="708"/>
          <w:tab w:val="left" w:pos="0" w:leader="none"/>
        </w:tabs>
        <w:ind w:left="2126" w:hanging="283"/>
        <w:rPr/>
      </w:pPr>
      <w:r>
        <w:rPr/>
        <w:t>solidaire: l'un des représentants peut agir seul</w:t>
      </w:r>
    </w:p>
    <w:p>
      <w:pPr>
        <w:pStyle w:val="11111tx2chiffre"/>
        <w:numPr>
          <w:ilvl w:val="0"/>
          <w:numId w:val="14"/>
        </w:numPr>
        <w:tabs>
          <w:tab w:val="clear" w:pos="708"/>
          <w:tab w:val="left" w:pos="0" w:leader="none"/>
        </w:tabs>
        <w:ind w:left="2126" w:hanging="283"/>
        <w:rPr/>
      </w:pPr>
      <w:r>
        <w:rPr/>
        <w:t>collective à proprement parlé : tous doivent agir (pas simultanément)</w:t>
      </w:r>
    </w:p>
    <w:p>
      <w:pPr>
        <w:pStyle w:val="11111tx22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signature collective à 2 : deux administrateurs doivent faire des actes juridiques ensemble.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Sans pouvoir de substitution </w:t>
      </w:r>
      <w:r>
        <w:rPr>
          <w:rFonts w:eastAsia="Symbol" w:cs="Symbol" w:ascii="Symbol" w:hAnsi="Symbol"/>
        </w:rPr>
        <w:t></w:t>
      </w:r>
      <w:r>
        <w:rPr/>
        <w:t>avec pouvoir de substitution</w:t>
      </w:r>
    </w:p>
    <w:p>
      <w:pPr>
        <w:pStyle w:val="Texte6"/>
        <w:rPr/>
      </w:pPr>
      <w:r>
        <w:rPr/>
        <w:t>Pouvoir de substitution =  le représentant a le droit de substituer la représentation à un autre. Le représentant a le pouvoir de conférer ses pouvoirs à quelqu'un d'autre.</w:t>
      </w:r>
    </w:p>
    <w:p>
      <w:pPr>
        <w:pStyle w:val="Tx61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Avocat contacté délègue le travail à un stagiaire.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Relation entre le représenté et le représentant</w:t>
      </w:r>
    </w:p>
    <w:p>
      <w:pPr>
        <w:pStyle w:val="Texte6"/>
        <w:rPr/>
      </w:pPr>
      <w:r>
        <w:rPr/>
        <w:t>Pouvoirs : acte juridique unilatéral que le représentant confère au représentant.</w:t>
      </w:r>
    </w:p>
    <w:p>
      <w:pPr>
        <w:pStyle w:val="Texte6"/>
        <w:rPr/>
      </w:pPr>
      <w:r>
        <w:rPr/>
        <w:t>La procuration peut être soutenue : s'inscrire dans un rapport juridique (contrat de mandat 394ss, un contrat de travail).</w:t>
      </w:r>
    </w:p>
    <w:p>
      <w:pPr>
        <w:pStyle w:val="Texte6"/>
        <w:rPr/>
      </w:pPr>
      <w:r>
        <w:rPr/>
        <w:t xml:space="preserve">Mandat </w:t>
      </w:r>
      <w:r>
        <w:rPr>
          <w:rFonts w:eastAsia="Symbol" w:cs="Symbol" w:ascii="Symbol" w:hAnsi="Symbol"/>
        </w:rPr>
        <w:t></w:t>
      </w:r>
      <w:r>
        <w:rPr/>
        <w:t>procuration (!!!)</w:t>
      </w:r>
    </w:p>
    <w:p>
      <w:pPr>
        <w:pStyle w:val="111type"/>
        <w:rPr/>
      </w:pPr>
      <w:r>
        <w:rPr/>
        <w:t>3. les vices de représentation (la représentation sans pouvoir)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le représentant n'a pas les pouvoirs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il n'a vraiment pas pouvoir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il outrepasse ses pouvoirs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les pouvoirs conférés ont été retirés et le représentant continue d'agir.</w:t>
      </w:r>
    </w:p>
    <w:p>
      <w:pPr>
        <w:pStyle w:val="111italique"/>
        <w:rPr/>
      </w:pPr>
      <w:r>
        <w:rPr/>
        <w:t>3.1. Le principe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L'effet de représentation ne se produit pas </w:t>
      </w:r>
    </w:p>
    <w:p>
      <w:pPr>
        <w:pStyle w:val="Texte2"/>
        <w:rPr/>
      </w:pPr>
      <w:r>
        <w:rPr/>
        <w:t>A n'est pas lié.</w:t>
      </w:r>
    </w:p>
    <w:p>
      <w:pPr>
        <w:pStyle w:val="111italique"/>
        <w:rPr/>
      </w:pPr>
      <w:r>
        <w:rPr/>
        <w:t>3.2. L'exception volontaire : la ratification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 représenté ratifie l'acte fait par le représentant sans pouvoir (38 CO)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Le mineur et le représentant légal</w:t>
      </w:r>
    </w:p>
    <w:p>
      <w:pPr>
        <w:pStyle w:val="Texte2"/>
        <w:rPr/>
      </w:pPr>
      <w:r>
        <w:rPr/>
        <w:t>Ratification = Acte juridique unilatéral du représenté, par lequel le représentant autorise l'acte fait en son nom.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Vis-à-vis du tiers, A n'est pas lié. Mais B est lié jusqu'au moment où l'acte est ratifié ou non. Entre-temps, l'acte est boiteux (38.2 CO)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La personne sous tutelle : son acte est boiteux. Le tiers est lié jusqu'à échéance.</w:t>
      </w:r>
    </w:p>
    <w:p>
      <w:pPr>
        <w:pStyle w:val="111italique"/>
        <w:rPr/>
      </w:pPr>
      <w:r>
        <w:rPr/>
        <w:t>3.3 Les exceptions légales</w:t>
      </w:r>
    </w:p>
    <w:p>
      <w:pPr>
        <w:pStyle w:val="1111type"/>
        <w:rPr/>
      </w:pPr>
      <w:r>
        <w:rPr/>
        <w:t>1. Protection de l'apparence qualifiée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Dans certains cas, le représenté crée une apparence qualifiée. A </w:t>
      </w:r>
      <w:r>
        <w:rPr>
          <w:b/>
          <w:bCs/>
        </w:rPr>
        <w:t>communique</w:t>
      </w:r>
      <w:r>
        <w:rPr/>
        <w:t xml:space="preserve"> à B (externe) que l'effet de représentation se produit quand même; il faut également que B soit de </w:t>
      </w:r>
      <w:r>
        <w:rPr>
          <w:b/>
          <w:bCs/>
        </w:rPr>
        <w:t>bonne foi</w:t>
      </w:r>
      <w:r>
        <w:rPr/>
        <w:t>.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u w:val="single"/>
        </w:rPr>
        <w:t xml:space="preserve">33.2 CO </w:t>
      </w:r>
      <w:r>
        <w:rPr/>
        <w:t xml:space="preserve"> : si A n'a pas accordé de pouvoir au représentant, mais qu'il fait savoir au tiers que le représentant a des pouvoirs, le représenté est donc lié.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u w:val="single"/>
        </w:rPr>
        <w:t>33.3 CO</w:t>
      </w:r>
      <w:r>
        <w:rPr/>
        <w:t xml:space="preserve"> : la procuration interne existe, mais elle est limitée à certains actes; A peut étendre les actes par une communications: A est lié.</w:t>
      </w:r>
    </w:p>
    <w:p>
      <w:pPr>
        <w:pStyle w:val="Tx6"/>
        <w:numPr>
          <w:ilvl w:val="0"/>
          <w:numId w:val="3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u w:val="single"/>
        </w:rPr>
        <w:t>34.3 CO</w:t>
      </w:r>
      <w:r>
        <w:rPr/>
        <w:t xml:space="preserve"> : lorsque le représenté a fait connaître les pouvoirs du représentant au tiers; et que les pouvoirs ont été retirés mais il oublie de les communiquer au tiers; le tiers est protégé et A est lié.</w:t>
      </w:r>
    </w:p>
    <w:p>
      <w:pPr>
        <w:pStyle w:val="1111texte6"/>
        <w:numPr>
          <w:ilvl w:val="0"/>
          <w:numId w:val="1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Conditions</w:t>
      </w:r>
    </w:p>
    <w:p>
      <w:pPr>
        <w:pStyle w:val="11111"/>
        <w:rPr/>
      </w:pPr>
      <w:r>
        <w:rPr/>
        <w:t>1) Communication</w:t>
      </w:r>
    </w:p>
    <w:p>
      <w:pPr>
        <w:pStyle w:val="11111texte"/>
        <w:numPr>
          <w:ilvl w:val="0"/>
          <w:numId w:val="13"/>
        </w:numPr>
        <w:tabs>
          <w:tab w:val="clear" w:pos="708"/>
          <w:tab w:val="left" w:pos="0" w:leader="none"/>
        </w:tabs>
        <w:ind w:left="1700" w:hanging="283"/>
        <w:jc w:val="both"/>
        <w:rPr/>
      </w:pPr>
      <w:r>
        <w:rPr/>
        <w:t>Expresse = procuration externe (attention le fondement de la représentation reste la procuration interne).</w:t>
      </w:r>
    </w:p>
    <w:p>
      <w:pPr>
        <w:pStyle w:val="11111texte"/>
        <w:numPr>
          <w:ilvl w:val="0"/>
          <w:numId w:val="13"/>
        </w:numPr>
        <w:tabs>
          <w:tab w:val="clear" w:pos="708"/>
          <w:tab w:val="left" w:pos="0" w:leader="none"/>
        </w:tabs>
        <w:ind w:left="1700" w:hanging="283"/>
        <w:jc w:val="both"/>
        <w:rPr/>
      </w:pPr>
      <w:r>
        <w:rPr/>
        <w:t>Tacite (</w:t>
      </w:r>
      <w:r>
        <w:rPr>
          <w:i/>
          <w:iCs/>
        </w:rPr>
        <w:t>Duldungsvollmacht, Arscheinvollmachit)</w:t>
      </w:r>
    </w:p>
    <w:p>
      <w:pPr>
        <w:pStyle w:val="11111tx2chiffre"/>
        <w:numPr>
          <w:ilvl w:val="0"/>
          <w:numId w:val="14"/>
        </w:numPr>
        <w:tabs>
          <w:tab w:val="clear" w:pos="708"/>
          <w:tab w:val="left" w:pos="0" w:leader="none"/>
        </w:tabs>
        <w:ind w:left="2126" w:hanging="283"/>
        <w:jc w:val="both"/>
        <w:rPr/>
      </w:pPr>
      <w:r>
        <w:rPr/>
        <w:t>A tolère que le représentant agisse envers B comme représentant.</w:t>
      </w:r>
    </w:p>
    <w:p>
      <w:pPr>
        <w:pStyle w:val="11111tx2chiffre"/>
        <w:numPr>
          <w:ilvl w:val="0"/>
          <w:numId w:val="14"/>
        </w:numPr>
        <w:tabs>
          <w:tab w:val="clear" w:pos="708"/>
          <w:tab w:val="left" w:pos="0" w:leader="none"/>
        </w:tabs>
        <w:ind w:left="2126" w:hanging="283"/>
        <w:jc w:val="both"/>
        <w:rPr/>
      </w:pPr>
      <w:r>
        <w:rPr/>
        <w:t>Le représenté tolère et se comporte comme si le représentant avait des pouvoirs internes.</w:t>
      </w:r>
    </w:p>
    <w:p>
      <w:pPr>
        <w:pStyle w:val="11111"/>
        <w:jc w:val="both"/>
        <w:rPr/>
      </w:pPr>
      <w:r>
        <w:rPr/>
        <w:t>2) Bonne foi (3 CC)</w:t>
      </w:r>
    </w:p>
    <w:p>
      <w:pPr>
        <w:pStyle w:val="11111tx2"/>
        <w:jc w:val="both"/>
        <w:rPr/>
      </w:pPr>
      <w:r>
        <w:rPr/>
        <w:t>Le tiers doit croire de bonne foi que le "représentant" avait une procuration interne.</w:t>
      </w:r>
    </w:p>
    <w:p>
      <w:pPr>
        <w:pStyle w:val="11111tx2"/>
        <w:jc w:val="both"/>
        <w:rPr/>
      </w:pPr>
      <w:r>
        <w:rPr/>
        <w:t>Mais, B doit faire preuve d'une diligence minimale (3.2. CC).</w:t>
      </w:r>
      <w:r>
        <w:rPr>
          <w:rStyle w:val="FootnoteCharacters"/>
          <w:rStyle w:val="FootnoteAnchor"/>
        </w:rPr>
        <w:footnoteReference w:id="2"/>
      </w:r>
    </w:p>
    <w:p>
      <w:pPr>
        <w:pStyle w:val="1111type"/>
        <w:rPr/>
      </w:pPr>
      <w:r>
        <w:rPr/>
        <w:t>2) Le cas particulier de 37 CO</w:t>
      </w:r>
    </w:p>
    <w:p>
      <w:pPr>
        <w:pStyle w:val="111italique"/>
        <w:jc w:val="both"/>
        <w:rPr/>
      </w:pPr>
      <w:r>
        <w:rPr/>
        <w:t>3.4 Remarques : Responsabilité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jc w:val="both"/>
        <w:rPr/>
      </w:pPr>
      <w:r>
        <w:rPr/>
        <w:t>Relation entre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jc w:val="both"/>
        <w:rPr/>
      </w:pPr>
      <w:r>
        <w:rPr/>
        <w:t>A et le représentant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jc w:val="both"/>
        <w:rPr/>
      </w:pPr>
      <w:r>
        <w:rPr/>
        <w:t>B et le représentant</w:t>
      </w:r>
    </w:p>
    <w:p>
      <w:pPr>
        <w:pStyle w:val="Texte2"/>
        <w:jc w:val="both"/>
        <w:rPr/>
      </w:pPr>
      <w:r>
        <w:rPr/>
        <w:t xml:space="preserve">Si le représentant n'a pas de pouvoir </w:t>
      </w:r>
      <w:r>
        <w:rPr>
          <w:rFonts w:eastAsia="Symbol" w:cs="Symbol" w:ascii="Symbol" w:hAnsi="Symbol"/>
        </w:rPr>
        <w:t></w:t>
      </w:r>
      <w:r>
        <w:rPr/>
        <w:t>A n'est pas lié.</w:t>
      </w:r>
    </w:p>
    <w:p>
      <w:pPr>
        <w:pStyle w:val="Tx"/>
        <w:numPr>
          <w:ilvl w:val="0"/>
          <w:numId w:val="4"/>
        </w:numPr>
        <w:tabs>
          <w:tab w:val="clear" w:pos="708"/>
          <w:tab w:val="left" w:pos="0" w:leader="none"/>
        </w:tabs>
        <w:ind w:left="1078" w:hanging="397"/>
        <w:jc w:val="both"/>
        <w:rPr/>
      </w:pPr>
      <w:r>
        <w:rPr/>
        <w:t>responsabilité</w:t>
      </w:r>
    </w:p>
    <w:p>
      <w:pPr>
        <w:pStyle w:val="Tx2retrait1"/>
        <w:numPr>
          <w:ilvl w:val="0"/>
          <w:numId w:val="10"/>
        </w:numPr>
        <w:tabs>
          <w:tab w:val="clear" w:pos="708"/>
          <w:tab w:val="left" w:pos="0" w:leader="none"/>
        </w:tabs>
        <w:ind w:left="1503" w:hanging="397"/>
        <w:jc w:val="both"/>
        <w:rPr/>
      </w:pPr>
      <w:r>
        <w:rPr/>
        <w:t xml:space="preserve">Si le représentant a outrepassé ses pouvoirs. A n'est pas lié. Mais A peut s'attaquer au représentant lorsqu'il est lésé par les exceptions d'apparence qualifié </w:t>
      </w:r>
      <w:r>
        <w:rPr>
          <w:rFonts w:eastAsia="Symbol" w:cs="Symbol" w:ascii="Symbol" w:hAnsi="Symbol"/>
        </w:rPr>
        <w:t></w:t>
      </w:r>
      <w:r>
        <w:rPr/>
        <w:t xml:space="preserve">Dommage </w:t>
      </w:r>
      <w:r>
        <w:rPr>
          <w:rFonts w:eastAsia="Symbol" w:cs="Symbol" w:ascii="Symbol" w:hAnsi="Symbol"/>
        </w:rPr>
        <w:t></w:t>
      </w:r>
      <w:r>
        <w:rPr/>
        <w:t>voir le contrat de mandat.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jc w:val="both"/>
        <w:rPr/>
      </w:pPr>
      <w:r>
        <w:rPr/>
        <w:t xml:space="preserve">B se rend compte que le représentant n'avait pas de pouvoir </w:t>
      </w:r>
      <w:r>
        <w:rPr>
          <w:rFonts w:eastAsia="Symbol" w:cs="Symbol" w:ascii="Symbol" w:hAnsi="Symbol"/>
        </w:rPr>
        <w:t></w:t>
      </w:r>
      <w:r>
        <w:rPr/>
        <w:t>Dommage. Il peut se retourner contre le représentant : 39 CO réclamation des dommages et intérêts.</w:t>
      </w:r>
    </w:p>
    <w:p>
      <w:pPr>
        <w:pStyle w:val="Texte2"/>
        <w:jc w:val="both"/>
        <w:rPr/>
      </w:pPr>
      <w:r>
        <w:rPr/>
        <w:t>L'invalidité du contrat = dommage négatif.</w:t>
      </w:r>
    </w:p>
    <w:p>
      <w:pPr>
        <w:pStyle w:val="Texte2"/>
        <w:rPr/>
      </w:pPr>
      <w:r>
        <w:rPr/>
        <w:t>R) 2 types de dommages :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Soit le dommage négatif :</w:t>
      </w:r>
    </w:p>
    <w:p>
      <w:pPr>
        <w:pStyle w:val="Tx2retrait"/>
        <w:rPr/>
      </w:pPr>
      <w:r>
        <w:rPr/>
        <w:t xml:space="preserve">Dommage subi par une personne du fait qu'elle est rentrée dans le contrat; de la remettre dans la situation où elle était avant l'existence du contrat </w:t>
      </w:r>
    </w:p>
    <w:p>
      <w:pPr>
        <w:pStyle w:val="Tx2retrait1"/>
        <w:numPr>
          <w:ilvl w:val="0"/>
          <w:numId w:val="10"/>
        </w:numPr>
        <w:tabs>
          <w:tab w:val="clear" w:pos="708"/>
          <w:tab w:val="left" w:pos="0" w:leader="none"/>
        </w:tabs>
        <w:ind w:left="1503" w:hanging="397"/>
        <w:rPr/>
      </w:pPr>
      <w:r>
        <w:rPr/>
        <w:t>frais remboursé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Soit le dommage positif :</w:t>
      </w:r>
    </w:p>
    <w:p>
      <w:pPr>
        <w:pStyle w:val="Tx2retrait"/>
        <w:rPr/>
      </w:pPr>
      <w:r>
        <w:rPr/>
        <w:t>Dommage qu'encourt la personne lésée, il faut remettre la personne dans la situation dans laquelle aurait été la personne si le contrat existait réellement, si parfaitement exécuté.</w:t>
      </w:r>
    </w:p>
    <w:p>
      <w:pPr>
        <w:pStyle w:val="Tx2retrait1"/>
        <w:numPr>
          <w:ilvl w:val="0"/>
          <w:numId w:val="10"/>
        </w:numPr>
        <w:tabs>
          <w:tab w:val="clear" w:pos="708"/>
          <w:tab w:val="left" w:pos="0" w:leader="none"/>
        </w:tabs>
        <w:ind w:left="1503" w:hanging="397"/>
        <w:rPr/>
      </w:pPr>
      <w:r>
        <w:rPr/>
        <w:t>perte remboursée</w:t>
      </w:r>
    </w:p>
    <w:p>
      <w:pPr>
        <w:pStyle w:val="Texte2"/>
        <w:rPr/>
      </w:pPr>
      <w:r>
        <w:rPr/>
        <w:t xml:space="preserve">Dans la </w:t>
      </w:r>
      <w:r>
        <w:rPr>
          <w:b/>
          <w:bCs/>
        </w:rPr>
        <w:t>représentation</w:t>
      </w:r>
      <w:r>
        <w:rPr/>
        <w:t xml:space="preserve">, on accorde que le </w:t>
      </w:r>
      <w:r>
        <w:rPr>
          <w:b/>
          <w:bCs/>
        </w:rPr>
        <w:t>dommage négatif</w:t>
      </w:r>
      <w:r>
        <w:rPr/>
        <w:t xml:space="preserve">, parce que le résultat c'est qu'il n'y a pas de contrat d'emblée, il n'y a </w:t>
      </w:r>
      <w:r>
        <w:rPr>
          <w:u w:val="single"/>
        </w:rPr>
        <w:t xml:space="preserve">jamais </w:t>
      </w:r>
      <w:r>
        <w:rPr/>
        <w:t>eu de contrat.</w:t>
      </w:r>
    </w:p>
    <w:p>
      <w:pPr>
        <w:pStyle w:val="Texte2"/>
        <w:rPr/>
      </w:pPr>
      <w:r>
        <w:rPr/>
        <w:t>Exception : 39.3 CO</w:t>
      </w:r>
    </w:p>
    <w:p>
      <w:pPr>
        <w:pStyle w:val="Texte2"/>
        <w:rPr/>
      </w:pPr>
      <w:r>
        <w:rPr/>
        <w:t>L'intérêt positif : fondé sur l'équité (situation exceptionnelle): la responsabilité précontractuelle (les parties doivent se comporter selon la bonne foi).</w:t>
      </w:r>
    </w:p>
    <w:p>
      <w:pPr>
        <w:pStyle w:val="Texte2"/>
        <w:rPr/>
      </w:pPr>
      <w:r>
        <w:rPr/>
        <w:t>L'action en enrichissement illégitime : il est possible que B ait déjà transférer une chose à A : il n'y a pas de contrat (62ss CO).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 représentant n'est pas lié par le contrat, car il agit au nom du représenté.</w:t>
      </w:r>
    </w:p>
    <w:p>
      <w:pPr>
        <w:pStyle w:val="111type"/>
        <w:rPr/>
      </w:pPr>
      <w:r>
        <w:rPr/>
        <w:t>4. la fin de la représentation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>
          <w:b/>
          <w:bCs/>
        </w:rPr>
        <w:t xml:space="preserve">Causes volontaires </w:t>
      </w:r>
      <w:r>
        <w:rPr/>
        <w:t>(34 CO)</w:t>
      </w:r>
    </w:p>
    <w:p>
      <w:pPr>
        <w:pStyle w:val="Texte2"/>
        <w:rPr/>
      </w:pPr>
      <w:r>
        <w:rPr/>
        <w:t xml:space="preserve">La représentation prend fin de par la volonté des parties. </w:t>
      </w:r>
    </w:p>
    <w:p>
      <w:pPr>
        <w:pStyle w:val="Texte2"/>
        <w:rPr/>
      </w:pPr>
      <w:r>
        <w:rPr/>
        <w:t>Révocation = acte juridique unilatéral par lequel le représenté déclare au représentant que les pouvoirs prennent fin ou qu'il sont restreints.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>
          <w:b/>
          <w:bCs/>
        </w:rPr>
        <w:t xml:space="preserve">Causes légales </w:t>
      </w:r>
      <w:r>
        <w:rPr/>
        <w:t>: elle reposent sur la loi (35 CO)</w:t>
      </w:r>
    </w:p>
    <w:p>
      <w:pPr>
        <w:pStyle w:val="Normal"/>
        <w:rPr/>
      </w:pPr>
      <w:r>
        <w:rPr/>
        <w:t>Les pouvoirs prennent fin avec le décès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20" w:top="1276" w:footer="720" w:bottom="14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23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55pt;height:14.9pt;mso-wrap-distance-left:0pt;mso-wrap-distance-right:0pt;mso-wrap-distance-top:0pt;mso-wrap-distance-bottom:0pt;margin-top:0.05pt;mso-position-vertical-relative:text;margin-left:223.5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xte2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>Résumé : Représentation : effet entre A et B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Effet de la représentation </w:t>
      </w:r>
    </w:p>
    <w:p>
      <w:pPr>
        <w:pStyle w:val="Texte2"/>
        <w:rPr>
          <w:sz w:val="20"/>
          <w:szCs w:val="20"/>
        </w:rPr>
      </w:pPr>
      <w:r>
        <w:rPr>
          <w:sz w:val="20"/>
          <w:szCs w:val="20"/>
        </w:rPr>
        <w:t>Conditions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>au nom du représenté : 32.2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>autorisé (pouvoirs = procuration interne) : 33.2</w:t>
      </w:r>
    </w:p>
    <w:p>
      <w:pPr>
        <w:pStyle w:val="Texte2"/>
        <w:rPr>
          <w:sz w:val="20"/>
          <w:szCs w:val="20"/>
        </w:rPr>
      </w:pPr>
      <w:r>
        <w:rPr>
          <w:sz w:val="20"/>
          <w:szCs w:val="20"/>
        </w:rPr>
        <w:t>Sinon A n'est pas lié.</w:t>
      </w:r>
    </w:p>
    <w:p>
      <w:pPr>
        <w:pStyle w:val="Texte1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>Exception</w:t>
      </w:r>
    </w:p>
    <w:p>
      <w:pPr>
        <w:pStyle w:val="Tx2chiffre"/>
        <w:numPr>
          <w:ilvl w:val="0"/>
          <w:numId w:val="9"/>
        </w:numPr>
        <w:tabs>
          <w:tab w:val="clear" w:pos="708"/>
          <w:tab w:val="left" w:pos="0" w:leader="none"/>
        </w:tabs>
        <w:ind w:left="-1" w:hanging="283"/>
        <w:rPr>
          <w:sz w:val="20"/>
          <w:szCs w:val="20"/>
        </w:rPr>
      </w:pPr>
      <w:r>
        <w:rPr>
          <w:sz w:val="20"/>
          <w:szCs w:val="20"/>
        </w:rPr>
        <w:t>Ratification</w:t>
      </w:r>
    </w:p>
    <w:p>
      <w:pPr>
        <w:pStyle w:val="Tx2chiffre"/>
        <w:numPr>
          <w:ilvl w:val="0"/>
          <w:numId w:val="9"/>
        </w:numPr>
        <w:tabs>
          <w:tab w:val="clear" w:pos="708"/>
          <w:tab w:val="left" w:pos="0" w:leader="none"/>
        </w:tabs>
        <w:spacing w:before="0" w:after="10"/>
        <w:ind w:left="992" w:hanging="283"/>
        <w:rPr>
          <w:sz w:val="20"/>
          <w:szCs w:val="20"/>
        </w:rPr>
      </w:pPr>
      <w:r>
        <w:rPr>
          <w:sz w:val="20"/>
          <w:szCs w:val="20"/>
        </w:rPr>
        <w:t>Apparence qualifiée : communication : 33.3, 33.3 ou 34.3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Obligations: COURS</w:t>
    </w:r>
  </w:p>
  <w:p>
    <w:pPr>
      <w:pStyle w:val="Header"/>
      <w:rPr/>
    </w:pPr>
    <w:r>
      <w:rPr/>
      <w:t>Ch.2    LES PARTIES ET LEURS REPRESENTANTS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75"/>
  <w:defaultTabStop w:val="708"/>
  <w:compat>
    <w:doNotExpandShiftReturn/>
  </w:compat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hi-IN"/>
    </w:rPr>
  </w:style>
  <w:style w:type="character" w:styleId="Policepardfaut">
    <w:name w:val="Police par défaut"/>
    <w:qFormat/>
    <w:rPr/>
  </w:style>
  <w:style w:type="character" w:styleId="FootnoteCharacters">
    <w:name w:val="Footnote Characters"/>
    <w:basedOn w:val="Policepardfaut"/>
    <w:qFormat/>
    <w:rPr>
      <w:vertAlign w:val="superscript"/>
    </w:rPr>
  </w:style>
  <w:style w:type="character" w:styleId="PageNumber">
    <w:name w:val="Page Number"/>
    <w:basedOn w:val="Policepardfaut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NOTION">
    <w:name w:val="1. NOTION"/>
    <w:basedOn w:val="Normal"/>
    <w:qFormat/>
    <w:pPr>
      <w:spacing w:before="360" w:after="240"/>
      <w:jc w:val="center"/>
    </w:pPr>
    <w:rPr>
      <w:b/>
      <w:bCs/>
      <w:caps/>
      <w:sz w:val="40"/>
      <w:szCs w:val="40"/>
    </w:rPr>
  </w:style>
  <w:style w:type="paragraph" w:styleId="11titre">
    <w:name w:val="1.1. titre"/>
    <w:basedOn w:val="Normal"/>
    <w:qFormat/>
    <w:pPr>
      <w:spacing w:before="600" w:after="480"/>
      <w:jc w:val="center"/>
    </w:pPr>
    <w:rPr>
      <w:b/>
      <w:bCs/>
      <w:caps/>
      <w:sz w:val="30"/>
      <w:szCs w:val="30"/>
    </w:rPr>
  </w:style>
  <w:style w:type="paragraph" w:styleId="111type">
    <w:name w:val="1.1.1. type"/>
    <w:basedOn w:val="Normal"/>
    <w:qFormat/>
    <w:pPr>
      <w:spacing w:before="160" w:after="160"/>
    </w:pPr>
    <w:rPr>
      <w:b/>
      <w:bCs/>
      <w:smallCaps/>
      <w:sz w:val="28"/>
      <w:szCs w:val="28"/>
      <w:u w:val="single"/>
    </w:rPr>
  </w:style>
  <w:style w:type="paragraph" w:styleId="Texte1">
    <w:name w:val="texte1"/>
    <w:basedOn w:val="Normal"/>
    <w:qFormat/>
    <w:pPr>
      <w:numPr>
        <w:ilvl w:val="0"/>
        <w:numId w:val="1"/>
      </w:numPr>
      <w:spacing w:before="120" w:after="0"/>
      <w:ind w:left="284" w:hanging="284"/>
      <w:jc w:val="both"/>
    </w:pPr>
    <w:rPr>
      <w:sz w:val="24"/>
      <w:szCs w:val="24"/>
    </w:rPr>
  </w:style>
  <w:style w:type="paragraph" w:styleId="Texte2">
    <w:name w:val="texte2"/>
    <w:basedOn w:val="Normal"/>
    <w:qFormat/>
    <w:pPr>
      <w:spacing w:before="0" w:after="10"/>
      <w:ind w:left="284" w:hanging="0"/>
      <w:jc w:val="both"/>
    </w:pPr>
    <w:rPr>
      <w:sz w:val="24"/>
      <w:szCs w:val="24"/>
    </w:rPr>
  </w:style>
  <w:style w:type="paragraph" w:styleId="111italique">
    <w:name w:val="1.1.1. italique"/>
    <w:basedOn w:val="111type"/>
    <w:qFormat/>
    <w:pPr/>
    <w:rPr>
      <w:i/>
      <w:iCs/>
      <w:sz w:val="26"/>
      <w:szCs w:val="26"/>
    </w:rPr>
  </w:style>
  <w:style w:type="paragraph" w:styleId="1111type">
    <w:name w:val="1.1.1.1. type"/>
    <w:basedOn w:val="111type"/>
    <w:qFormat/>
    <w:pPr>
      <w:ind w:left="851" w:hanging="0"/>
    </w:pPr>
    <w:rPr>
      <w:caps w:val="false"/>
      <w:smallCaps w:val="false"/>
      <w:sz w:val="25"/>
      <w:szCs w:val="25"/>
    </w:rPr>
  </w:style>
  <w:style w:type="paragraph" w:styleId="1111texte6">
    <w:name w:val="1.1.1.1. texte6"/>
    <w:basedOn w:val="Texte1"/>
    <w:qFormat/>
    <w:pPr>
      <w:spacing w:before="80" w:after="0"/>
      <w:ind w:left="1135" w:hanging="284"/>
    </w:pPr>
    <w:rPr/>
  </w:style>
  <w:style w:type="paragraph" w:styleId="Tx2">
    <w:name w:val="tx2-"/>
    <w:basedOn w:val="Texte2"/>
    <w:qFormat/>
    <w:pPr>
      <w:numPr>
        <w:ilvl w:val="0"/>
        <w:numId w:val="2"/>
      </w:numPr>
      <w:ind w:left="709" w:hanging="425"/>
    </w:pPr>
    <w:rPr/>
  </w:style>
  <w:style w:type="paragraph" w:styleId="Texte6">
    <w:name w:val="texte6"/>
    <w:basedOn w:val="Texte2"/>
    <w:qFormat/>
    <w:pPr>
      <w:spacing w:before="0" w:after="0"/>
      <w:ind w:left="1134" w:hanging="0"/>
    </w:pPr>
    <w:rPr/>
  </w:style>
  <w:style w:type="paragraph" w:styleId="Tx6">
    <w:name w:val="tx6-"/>
    <w:basedOn w:val="Texte6"/>
    <w:qFormat/>
    <w:pPr>
      <w:numPr>
        <w:ilvl w:val="0"/>
        <w:numId w:val="3"/>
      </w:numPr>
      <w:ind w:left="1559" w:hanging="425"/>
    </w:pPr>
    <w:rPr/>
  </w:style>
  <w:style w:type="paragraph" w:styleId="Tx">
    <w:name w:val="tx=&gt;"/>
    <w:basedOn w:val="Texte2"/>
    <w:qFormat/>
    <w:pPr>
      <w:numPr>
        <w:ilvl w:val="0"/>
        <w:numId w:val="4"/>
      </w:numPr>
      <w:ind w:left="681" w:hanging="397"/>
    </w:pPr>
    <w:rPr/>
  </w:style>
  <w:style w:type="paragraph" w:styleId="Tx61">
    <w:name w:val="tx6.-&gt;"/>
    <w:basedOn w:val="Normal"/>
    <w:qFormat/>
    <w:pPr>
      <w:numPr>
        <w:ilvl w:val="0"/>
        <w:numId w:val="5"/>
      </w:numPr>
      <w:ind w:left="1560" w:hanging="426"/>
      <w:jc w:val="both"/>
    </w:pPr>
    <w:rPr>
      <w:sz w:val="24"/>
      <w:szCs w:val="24"/>
    </w:rPr>
  </w:style>
  <w:style w:type="paragraph" w:styleId="Tx6chiffre">
    <w:name w:val="tx6.chiffre"/>
    <w:basedOn w:val="Texte6"/>
    <w:qFormat/>
    <w:pPr>
      <w:numPr>
        <w:ilvl w:val="0"/>
        <w:numId w:val="6"/>
      </w:numPr>
      <w:ind w:left="1559" w:hanging="425"/>
    </w:pPr>
    <w:rPr/>
  </w:style>
  <w:style w:type="paragraph" w:styleId="Tx6retrait">
    <w:name w:val="tx6.retrait"/>
    <w:basedOn w:val="Tx6"/>
    <w:qFormat/>
    <w:pPr>
      <w:numPr>
        <w:ilvl w:val="0"/>
        <w:numId w:val="7"/>
      </w:numPr>
      <w:ind w:left="1559" w:hanging="0"/>
    </w:pPr>
    <w:rPr/>
  </w:style>
  <w:style w:type="paragraph" w:styleId="Tx62">
    <w:name w:val="tx6. =&gt;"/>
    <w:basedOn w:val="Tx6"/>
    <w:qFormat/>
    <w:pPr>
      <w:numPr>
        <w:ilvl w:val="0"/>
        <w:numId w:val="8"/>
      </w:numPr>
      <w:ind w:left="1560" w:hanging="426"/>
    </w:pPr>
    <w:rPr/>
  </w:style>
  <w:style w:type="paragraph" w:styleId="Tx2chiffre">
    <w:name w:val="tx2.chiffre"/>
    <w:basedOn w:val="Texte2"/>
    <w:qFormat/>
    <w:pPr>
      <w:numPr>
        <w:ilvl w:val="0"/>
        <w:numId w:val="9"/>
      </w:numPr>
      <w:ind w:left="709" w:hanging="425"/>
    </w:pPr>
    <w:rPr/>
  </w:style>
  <w:style w:type="paragraph" w:styleId="Tx2retrait">
    <w:name w:val="tx2.retrait"/>
    <w:basedOn w:val="Texte2"/>
    <w:qFormat/>
    <w:pPr>
      <w:ind w:left="709" w:hanging="0"/>
    </w:pPr>
    <w:rPr/>
  </w:style>
  <w:style w:type="paragraph" w:styleId="Tx2retrait1">
    <w:name w:val="tx2.retrait.-&gt;"/>
    <w:basedOn w:val="Tx2retrait"/>
    <w:qFormat/>
    <w:pPr>
      <w:numPr>
        <w:ilvl w:val="0"/>
        <w:numId w:val="10"/>
      </w:numPr>
      <w:ind w:left="1106" w:hanging="397"/>
    </w:pPr>
    <w:rPr/>
  </w:style>
  <w:style w:type="paragraph" w:styleId="11111tx2">
    <w:name w:val="1.1.1.1.1.tx2"/>
    <w:qFormat/>
    <w:pPr>
      <w:widowControl/>
      <w:spacing w:before="20" w:after="20"/>
      <w:ind w:left="1418" w:hanging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paragraph" w:styleId="11111tx21">
    <w:name w:val="1.1.1.1.1.tx2.-"/>
    <w:basedOn w:val="11111tx2"/>
    <w:qFormat/>
    <w:pPr>
      <w:numPr>
        <w:ilvl w:val="0"/>
        <w:numId w:val="11"/>
      </w:numPr>
      <w:ind w:left="1984" w:hanging="425"/>
    </w:pPr>
    <w:rPr/>
  </w:style>
  <w:style w:type="paragraph" w:styleId="11111tx22">
    <w:name w:val="1.1.1.1.1.tx2.-&gt;"/>
    <w:basedOn w:val="11111tx21"/>
    <w:qFormat/>
    <w:pPr>
      <w:numPr>
        <w:ilvl w:val="0"/>
        <w:numId w:val="12"/>
      </w:numPr>
    </w:pPr>
    <w:rPr/>
  </w:style>
  <w:style w:type="paragraph" w:styleId="11111texte">
    <w:name w:val="1.1.1.1.1.texte"/>
    <w:basedOn w:val="Normal"/>
    <w:qFormat/>
    <w:pPr>
      <w:numPr>
        <w:ilvl w:val="0"/>
        <w:numId w:val="13"/>
      </w:numPr>
      <w:spacing w:before="40" w:after="80"/>
      <w:ind w:left="1417" w:hanging="283"/>
    </w:pPr>
    <w:rPr>
      <w:sz w:val="24"/>
      <w:szCs w:val="24"/>
    </w:rPr>
  </w:style>
  <w:style w:type="paragraph" w:styleId="1111retrait2puce">
    <w:name w:val="1.1.1.1.retrait2.puce"/>
    <w:basedOn w:val="11111texte"/>
    <w:qFormat/>
    <w:pPr>
      <w:ind w:left="1843" w:hanging="284"/>
    </w:pPr>
    <w:rPr/>
  </w:style>
  <w:style w:type="paragraph" w:styleId="11111tx2chiffre">
    <w:name w:val="1.1.1.1.1.tx2.chiffre"/>
    <w:basedOn w:val="11111tx2"/>
    <w:qFormat/>
    <w:pPr>
      <w:numPr>
        <w:ilvl w:val="0"/>
        <w:numId w:val="14"/>
      </w:numPr>
      <w:ind w:left="1843" w:hanging="284"/>
    </w:pPr>
    <w:rPr/>
  </w:style>
  <w:style w:type="paragraph" w:styleId="Tx21">
    <w:name w:val="tx2.-&gt;"/>
    <w:basedOn w:val="Texte2"/>
    <w:qFormat/>
    <w:pPr>
      <w:numPr>
        <w:ilvl w:val="0"/>
        <w:numId w:val="15"/>
      </w:numPr>
      <w:ind w:left="709" w:hanging="425"/>
    </w:pPr>
    <w:rPr/>
  </w:style>
  <w:style w:type="paragraph" w:styleId="11111">
    <w:name w:val="1.1.1.1.1"/>
    <w:basedOn w:val="Normal"/>
    <w:qFormat/>
    <w:pPr>
      <w:spacing w:before="120" w:after="120"/>
      <w:ind w:left="1134" w:hanging="0"/>
    </w:pPr>
    <w:rPr>
      <w:b/>
      <w:bCs/>
      <w:i/>
      <w:iCs/>
      <w:sz w:val="26"/>
      <w:szCs w:val="26"/>
      <w:u w:val="single"/>
    </w:rPr>
  </w:style>
  <w:style w:type="paragraph" w:styleId="Footnote">
    <w:name w:val="Footnote Text"/>
    <w:basedOn w:val="Normal"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 w:val="26"/>
      <w:szCs w:val="26"/>
    </w:rPr>
  </w:style>
  <w:style w:type="paragraph" w:styleId="11111tx2retrait">
    <w:name w:val="1.1.1.1.1..tx2.retrait"/>
    <w:basedOn w:val="11111tx21"/>
    <w:qFormat/>
    <w:pPr>
      <w:numPr>
        <w:ilvl w:val="0"/>
        <w:numId w:val="16"/>
      </w:numPr>
      <w:ind w:left="1984" w:hanging="0"/>
    </w:pPr>
    <w:rPr/>
  </w:style>
  <w:style w:type="paragraph" w:styleId="11111tx23">
    <w:name w:val="1.1.1.1.1.tx2.=&gt;"/>
    <w:basedOn w:val="11111tx2chiffre"/>
    <w:qFormat/>
    <w:pPr>
      <w:numPr>
        <w:ilvl w:val="0"/>
        <w:numId w:val="17"/>
      </w:numPr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  <w:style w:type="numbering" w:styleId="WW8StyleNum10">
    <w:name w:val="WW8StyleNum10"/>
    <w:qFormat/>
  </w:style>
  <w:style w:type="numbering" w:styleId="WW8StyleNum11">
    <w:name w:val="WW8StyleNum11"/>
    <w:qFormat/>
  </w:style>
  <w:style w:type="numbering" w:styleId="WW8StyleNum12">
    <w:name w:val="WW8StyleNum12"/>
    <w:qFormat/>
  </w:style>
  <w:style w:type="numbering" w:styleId="WW8StyleNum13">
    <w:name w:val="WW8StyleNum13"/>
    <w:qFormat/>
  </w:style>
  <w:style w:type="numbering" w:styleId="WW8StyleNum14">
    <w:name w:val="WW8StyleNum14"/>
    <w:qFormat/>
  </w:style>
  <w:style w:type="numbering" w:styleId="WW8StyleNum15">
    <w:name w:val="WW8StyleNum15"/>
    <w:qFormat/>
  </w:style>
  <w:style w:type="numbering" w:styleId="WW8StyleNum16">
    <w:name w:val="WW8Style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C:\WINWORD\MODELES\NORMAL.DOT</Template>
  <TotalTime>26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1997-11-07T19:00:00Z</dcterms:created>
  <dc:creator>Monsieur Jérôme MENDES DE LEON</dc:creator>
  <dc:description/>
  <dc:language>en-US</dc:language>
  <cp:lastModifiedBy>Monsieur Jérôme MENDES DE LEON</cp:lastModifiedBy>
  <dcterms:modified xsi:type="dcterms:W3CDTF">1997-11-21T13:58:00Z</dcterms:modified>
  <cp:revision>6</cp:revision>
  <dc:subject/>
  <dc:title>CHAPITRE 2 </dc:title>
</cp:coreProperties>
</file>